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A6771C" w:rsidRPr="00B15B24" w:rsidTr="00A6771C">
        <w:tc>
          <w:tcPr>
            <w:tcW w:w="4428" w:type="dxa"/>
          </w:tcPr>
          <w:p w:rsidR="00A6771C" w:rsidRPr="00B15B24" w:rsidRDefault="00A6771C" w:rsidP="00A6771C">
            <w:pPr>
              <w:ind w:left="851" w:hanging="851"/>
            </w:pPr>
            <w:r w:rsidRPr="00B15B24">
              <w:t>From:</w:t>
            </w:r>
            <w:r w:rsidRPr="00B15B24">
              <w:tab/>
            </w:r>
            <w:r>
              <w:t xml:space="preserve">e-NAV </w:t>
            </w:r>
            <w:r w:rsidRPr="00CF1FDF">
              <w:t>Committee</w:t>
            </w:r>
            <w:r w:rsidR="00C16591">
              <w:t>, vice chair</w:t>
            </w:r>
          </w:p>
        </w:tc>
        <w:tc>
          <w:tcPr>
            <w:tcW w:w="5461" w:type="dxa"/>
          </w:tcPr>
          <w:p w:rsidR="00CD2A77" w:rsidRDefault="00CD2A77" w:rsidP="00A6771C">
            <w:pPr>
              <w:jc w:val="right"/>
            </w:pPr>
            <w:r>
              <w:t>PAP2</w:t>
            </w:r>
            <w:r w:rsidR="00C16591">
              <w:t>6</w:t>
            </w:r>
            <w:r w:rsidR="00D77463">
              <w:t>-</w:t>
            </w:r>
            <w:r w:rsidR="00BD2926">
              <w:t>8.4</w:t>
            </w:r>
            <w:r w:rsidR="00D77463">
              <w:t>.1</w:t>
            </w:r>
            <w:bookmarkStart w:id="0" w:name="_GoBack"/>
            <w:bookmarkEnd w:id="0"/>
          </w:p>
          <w:p w:rsidR="00A6771C" w:rsidRPr="00B15B24" w:rsidRDefault="00A6771C" w:rsidP="00A6771C">
            <w:pPr>
              <w:jc w:val="right"/>
              <w:rPr>
                <w:highlight w:val="yellow"/>
              </w:rPr>
            </w:pPr>
          </w:p>
        </w:tc>
      </w:tr>
      <w:tr w:rsidR="00A6771C" w:rsidRPr="00B15B24" w:rsidTr="00A6771C">
        <w:tc>
          <w:tcPr>
            <w:tcW w:w="4428" w:type="dxa"/>
          </w:tcPr>
          <w:p w:rsidR="00A6771C" w:rsidRPr="00B15B24" w:rsidRDefault="00A6771C" w:rsidP="00A6771C">
            <w:pPr>
              <w:ind w:left="851" w:hanging="851"/>
            </w:pPr>
            <w:r w:rsidRPr="00B15B24">
              <w:t>To:</w:t>
            </w:r>
            <w:r w:rsidRPr="00B15B24">
              <w:tab/>
            </w:r>
            <w:r>
              <w:t>PAP</w:t>
            </w:r>
          </w:p>
        </w:tc>
        <w:tc>
          <w:tcPr>
            <w:tcW w:w="5461" w:type="dxa"/>
          </w:tcPr>
          <w:p w:rsidR="00A6771C" w:rsidRPr="00B15B24" w:rsidRDefault="00EC68A1" w:rsidP="00C16591">
            <w:pPr>
              <w:jc w:val="right"/>
            </w:pPr>
            <w:r>
              <w:t>22</w:t>
            </w:r>
            <w:r w:rsidR="00A6771C" w:rsidRPr="00CF1FDF">
              <w:t xml:space="preserve"> </w:t>
            </w:r>
            <w:r w:rsidR="00C16591">
              <w:t>October</w:t>
            </w:r>
            <w:r w:rsidR="00A6771C" w:rsidRPr="00B15B24">
              <w:t xml:space="preserve"> 20</w:t>
            </w:r>
            <w:r w:rsidR="00A6771C">
              <w:t>13</w:t>
            </w:r>
          </w:p>
        </w:tc>
      </w:tr>
      <w:tr w:rsidR="00A6771C" w:rsidRPr="00B15B24" w:rsidTr="00A6771C">
        <w:tc>
          <w:tcPr>
            <w:tcW w:w="4428" w:type="dxa"/>
          </w:tcPr>
          <w:p w:rsidR="00A6771C" w:rsidRPr="00B15B24" w:rsidRDefault="00A6771C" w:rsidP="00A6771C">
            <w:pPr>
              <w:tabs>
                <w:tab w:val="left" w:pos="851"/>
              </w:tabs>
            </w:pPr>
          </w:p>
        </w:tc>
        <w:tc>
          <w:tcPr>
            <w:tcW w:w="5461" w:type="dxa"/>
          </w:tcPr>
          <w:p w:rsidR="00A6771C" w:rsidRPr="00CF1FDF" w:rsidRDefault="00A6771C" w:rsidP="00A6771C">
            <w:pPr>
              <w:jc w:val="right"/>
            </w:pPr>
          </w:p>
        </w:tc>
      </w:tr>
    </w:tbl>
    <w:p w:rsidR="00362CD9" w:rsidRDefault="00362CD9" w:rsidP="00360762">
      <w:pPr>
        <w:pStyle w:val="BodyText"/>
        <w:tabs>
          <w:tab w:val="left" w:pos="2835"/>
        </w:tabs>
      </w:pPr>
    </w:p>
    <w:p w:rsidR="00D11E10" w:rsidRPr="00F11ECA" w:rsidRDefault="00BD2926" w:rsidP="00F11ECA">
      <w:pPr>
        <w:spacing w:after="200" w:line="276" w:lineRule="auto"/>
        <w:jc w:val="center"/>
        <w:rPr>
          <w:b/>
          <w:sz w:val="32"/>
          <w:szCs w:val="32"/>
        </w:rPr>
      </w:pPr>
      <w:r>
        <w:rPr>
          <w:b/>
          <w:sz w:val="32"/>
          <w:szCs w:val="32"/>
        </w:rPr>
        <w:t>DGNSS</w:t>
      </w:r>
    </w:p>
    <w:p w:rsidR="00F11ECA" w:rsidRDefault="00F11ECA" w:rsidP="00A446C9">
      <w:pPr>
        <w:pStyle w:val="Title"/>
      </w:pPr>
    </w:p>
    <w:p w:rsidR="00A446C9" w:rsidRDefault="00A446C9" w:rsidP="00A446C9">
      <w:pPr>
        <w:pStyle w:val="Heading1"/>
      </w:pPr>
      <w:r>
        <w:t>Summary</w:t>
      </w:r>
    </w:p>
    <w:p w:rsidR="00F11ECA" w:rsidRDefault="00EC4B3B" w:rsidP="00F11ECA">
      <w:pPr>
        <w:pStyle w:val="Heading2"/>
      </w:pPr>
      <w:bookmarkStart w:id="1" w:name="_Toc212347457"/>
      <w:r>
        <w:t>Purpose</w:t>
      </w:r>
      <w:bookmarkEnd w:id="1"/>
    </w:p>
    <w:p w:rsidR="00BD2926" w:rsidRDefault="00F11ECA" w:rsidP="00F11ECA">
      <w:r>
        <w:t>Th</w:t>
      </w:r>
      <w:r w:rsidR="00D11E10">
        <w:t>is paper s</w:t>
      </w:r>
      <w:r w:rsidR="00BD2926">
        <w:t>uggests methods of maintaining the DGNSS information on the IALA website.</w:t>
      </w:r>
    </w:p>
    <w:p w:rsidR="00D11E10" w:rsidRDefault="00D11E10" w:rsidP="00F11ECA"/>
    <w:p w:rsidR="00A446C9" w:rsidRDefault="00A446C9" w:rsidP="00EC4B3B">
      <w:pPr>
        <w:pStyle w:val="Heading2"/>
      </w:pPr>
      <w:r>
        <w:t>Background</w:t>
      </w:r>
    </w:p>
    <w:p w:rsidR="00BD2926" w:rsidRDefault="00BD2926" w:rsidP="00F11ECA">
      <w:pPr>
        <w:pStyle w:val="BodyText"/>
        <w:rPr>
          <w:lang w:eastAsia="de-DE"/>
        </w:rPr>
      </w:pPr>
      <w:r>
        <w:rPr>
          <w:lang w:eastAsia="de-DE"/>
        </w:rPr>
        <w:t>Since IALA took the lead in making beacon DGNSS the international standard for maritime augmentation of GNSS, a database of station information has been held on the IALA website. IALA Has also coordinated the allocation of ID numbers for reference and transmitting stations and given advice on frequencies that might be available. This task has been carried out by the current e-NAV vice chair, in consultation with the secretariat.</w:t>
      </w:r>
    </w:p>
    <w:p w:rsidR="00BD2926" w:rsidRDefault="00BD2926" w:rsidP="00F11ECA">
      <w:pPr>
        <w:pStyle w:val="BodyText"/>
        <w:rPr>
          <w:lang w:eastAsia="de-DE"/>
        </w:rPr>
      </w:pPr>
      <w:r>
        <w:rPr>
          <w:lang w:eastAsia="de-DE"/>
        </w:rPr>
        <w:t>This paper discusses how this process might be formalised and the procedures updated.</w:t>
      </w:r>
    </w:p>
    <w:p w:rsidR="00D103A9" w:rsidRDefault="00EC4B3B" w:rsidP="004E3635">
      <w:pPr>
        <w:pStyle w:val="Heading1"/>
        <w:numPr>
          <w:ilvl w:val="0"/>
          <w:numId w:val="0"/>
        </w:numPr>
      </w:pPr>
      <w:r>
        <w:t>2</w:t>
      </w:r>
      <w:r w:rsidR="004E3635">
        <w:tab/>
      </w:r>
      <w:r w:rsidR="00D103A9">
        <w:t>ACTION REQUESTED</w:t>
      </w:r>
    </w:p>
    <w:p w:rsidR="00D103A9" w:rsidRDefault="00D103A9" w:rsidP="00D103A9">
      <w:pPr>
        <w:pStyle w:val="BodyText"/>
        <w:rPr>
          <w:lang w:eastAsia="de-DE"/>
        </w:rPr>
      </w:pPr>
      <w:r>
        <w:rPr>
          <w:lang w:eastAsia="de-DE"/>
        </w:rPr>
        <w:t xml:space="preserve">The Policy Advisory Panel is invited to </w:t>
      </w:r>
      <w:r w:rsidR="00EC4B3B">
        <w:rPr>
          <w:lang w:eastAsia="de-DE"/>
        </w:rPr>
        <w:t>consider th</w:t>
      </w:r>
      <w:r w:rsidR="00D11E10">
        <w:rPr>
          <w:lang w:eastAsia="de-DE"/>
        </w:rPr>
        <w:t>ese proposals fo</w:t>
      </w:r>
      <w:r w:rsidR="00EC4B3B">
        <w:rPr>
          <w:lang w:eastAsia="de-DE"/>
        </w:rPr>
        <w:t xml:space="preserve">r </w:t>
      </w:r>
      <w:r w:rsidR="00D11E10">
        <w:rPr>
          <w:lang w:eastAsia="de-DE"/>
        </w:rPr>
        <w:t>possible submission to Council</w:t>
      </w:r>
      <w:r>
        <w:rPr>
          <w:lang w:eastAsia="de-DE"/>
        </w:rPr>
        <w:t>.</w:t>
      </w:r>
    </w:p>
    <w:p w:rsidR="00A37A82" w:rsidRDefault="00A37A82">
      <w:pPr>
        <w:rPr>
          <w:lang w:eastAsia="de-DE"/>
        </w:rPr>
      </w:pPr>
      <w:r>
        <w:rPr>
          <w:lang w:eastAsia="de-DE"/>
        </w:rPr>
        <w:br w:type="page"/>
      </w:r>
    </w:p>
    <w:p w:rsidR="00A37A82" w:rsidRDefault="001F03D4" w:rsidP="00A37A82">
      <w:pPr>
        <w:pStyle w:val="BodyText"/>
        <w:jc w:val="center"/>
        <w:rPr>
          <w:b/>
          <w:lang w:eastAsia="de-DE"/>
        </w:rPr>
      </w:pPr>
      <w:r>
        <w:rPr>
          <w:b/>
          <w:lang w:eastAsia="de-DE"/>
        </w:rPr>
        <w:lastRenderedPageBreak/>
        <w:t>DGNSS</w:t>
      </w:r>
    </w:p>
    <w:p w:rsidR="00A37A82" w:rsidRDefault="00A37A82" w:rsidP="00A37A82">
      <w:pPr>
        <w:pStyle w:val="BodyText"/>
        <w:rPr>
          <w:b/>
          <w:lang w:eastAsia="de-DE"/>
        </w:rPr>
      </w:pPr>
    </w:p>
    <w:p w:rsidR="00A37A82" w:rsidRDefault="001F03D4" w:rsidP="00A37A82">
      <w:pPr>
        <w:pStyle w:val="BodyText"/>
        <w:rPr>
          <w:b/>
          <w:lang w:eastAsia="de-DE"/>
        </w:rPr>
      </w:pPr>
      <w:r>
        <w:rPr>
          <w:b/>
          <w:lang w:eastAsia="de-DE"/>
        </w:rPr>
        <w:t>Introduction</w:t>
      </w:r>
    </w:p>
    <w:p w:rsidR="00E32FA6" w:rsidRDefault="001F03D4" w:rsidP="00E32FA6">
      <w:pPr>
        <w:pStyle w:val="BodyText"/>
        <w:spacing w:after="0"/>
        <w:rPr>
          <w:lang w:eastAsia="de-DE"/>
        </w:rPr>
      </w:pPr>
      <w:r w:rsidRPr="001F03D4">
        <w:rPr>
          <w:lang w:eastAsia="de-DE"/>
        </w:rPr>
        <w:t xml:space="preserve">The IALA Beacon Differential GNSS service is the recognised, international, maritime augmentation system for GNSS. </w:t>
      </w:r>
      <w:r>
        <w:rPr>
          <w:lang w:eastAsia="de-DE"/>
        </w:rPr>
        <w:t>There are some 400 stations worldwide and some countries are in the process of installing or modernising systems.</w:t>
      </w:r>
    </w:p>
    <w:p w:rsidR="00E32FA6" w:rsidRDefault="00E32FA6" w:rsidP="00E32FA6">
      <w:pPr>
        <w:pStyle w:val="BodyText"/>
        <w:spacing w:after="0"/>
        <w:rPr>
          <w:lang w:eastAsia="de-DE"/>
        </w:rPr>
      </w:pPr>
    </w:p>
    <w:p w:rsidR="00E32FA6" w:rsidRPr="00E32FA6" w:rsidRDefault="00E32FA6" w:rsidP="00A37A82">
      <w:pPr>
        <w:pStyle w:val="BodyText"/>
        <w:rPr>
          <w:b/>
          <w:lang w:eastAsia="de-DE"/>
        </w:rPr>
      </w:pPr>
      <w:r w:rsidRPr="00E32FA6">
        <w:rPr>
          <w:b/>
          <w:lang w:eastAsia="de-DE"/>
        </w:rPr>
        <w:t>Database</w:t>
      </w:r>
    </w:p>
    <w:p w:rsidR="001F03D4" w:rsidRDefault="00E32FA6" w:rsidP="00E32FA6">
      <w:pPr>
        <w:pStyle w:val="BodyText"/>
        <w:spacing w:after="0"/>
        <w:rPr>
          <w:lang w:eastAsia="de-DE"/>
        </w:rPr>
      </w:pPr>
      <w:r>
        <w:rPr>
          <w:lang w:eastAsia="de-DE"/>
        </w:rPr>
        <w:t xml:space="preserve">The information on DGNSS services is held in </w:t>
      </w:r>
      <w:proofErr w:type="spellStart"/>
      <w:r>
        <w:rPr>
          <w:lang w:eastAsia="de-DE"/>
        </w:rPr>
        <w:t>pdf</w:t>
      </w:r>
      <w:proofErr w:type="spellEnd"/>
      <w:r>
        <w:rPr>
          <w:lang w:eastAsia="de-DE"/>
        </w:rPr>
        <w:t xml:space="preserve"> format in the Radio-navigation Services section of the IALA website. The data is provided by IALA Members in response to periodic requests for updates.  </w:t>
      </w:r>
      <w:r w:rsidR="001F03D4">
        <w:rPr>
          <w:lang w:eastAsia="de-DE"/>
        </w:rPr>
        <w:t xml:space="preserve"> </w:t>
      </w:r>
      <w:r>
        <w:rPr>
          <w:lang w:eastAsia="de-DE"/>
        </w:rPr>
        <w:t>The files include Station name, location, reference and transmitting station ID numbers, frequencies and status.</w:t>
      </w:r>
    </w:p>
    <w:p w:rsidR="00E32FA6" w:rsidRDefault="00E32FA6" w:rsidP="00E32FA6">
      <w:pPr>
        <w:pStyle w:val="BodyText"/>
        <w:spacing w:after="0"/>
        <w:rPr>
          <w:lang w:eastAsia="de-DE"/>
        </w:rPr>
      </w:pPr>
    </w:p>
    <w:p w:rsidR="00E32FA6" w:rsidRPr="00E32FA6" w:rsidRDefault="00E32FA6" w:rsidP="00E32FA6">
      <w:pPr>
        <w:pStyle w:val="BodyText"/>
        <w:rPr>
          <w:b/>
          <w:lang w:eastAsia="de-DE"/>
        </w:rPr>
      </w:pPr>
      <w:r w:rsidRPr="00E32FA6">
        <w:rPr>
          <w:b/>
          <w:lang w:eastAsia="de-DE"/>
        </w:rPr>
        <w:t>Procedures</w:t>
      </w:r>
    </w:p>
    <w:p w:rsidR="00E32FA6" w:rsidRDefault="00E32FA6" w:rsidP="00E32FA6">
      <w:pPr>
        <w:pStyle w:val="BodyText"/>
        <w:rPr>
          <w:lang w:eastAsia="de-DE"/>
        </w:rPr>
      </w:pPr>
      <w:r>
        <w:rPr>
          <w:lang w:eastAsia="de-DE"/>
        </w:rPr>
        <w:t xml:space="preserve">When new stations are planned, or a change is proposed, </w:t>
      </w:r>
      <w:r w:rsidR="0013245B">
        <w:rPr>
          <w:lang w:eastAsia="de-DE"/>
        </w:rPr>
        <w:t>an</w:t>
      </w:r>
      <w:r>
        <w:rPr>
          <w:lang w:eastAsia="de-DE"/>
        </w:rPr>
        <w:t xml:space="preserve"> administration will usually contact the IALA secretariat for advice, </w:t>
      </w:r>
      <w:r w:rsidR="0013245B">
        <w:rPr>
          <w:lang w:eastAsia="de-DE"/>
        </w:rPr>
        <w:t xml:space="preserve">given </w:t>
      </w:r>
      <w:r>
        <w:rPr>
          <w:lang w:eastAsia="de-DE"/>
        </w:rPr>
        <w:t>in accordance with</w:t>
      </w:r>
      <w:r w:rsidR="0013245B">
        <w:rPr>
          <w:lang w:eastAsia="de-DE"/>
        </w:rPr>
        <w:t xml:space="preserve"> procedures set out in documentation posted on the old website, together with the station data files. This documentation is not posted on the new website and needs to be made available in some form.</w:t>
      </w:r>
      <w:r>
        <w:rPr>
          <w:lang w:eastAsia="de-DE"/>
        </w:rPr>
        <w:t xml:space="preserve"> </w:t>
      </w:r>
    </w:p>
    <w:p w:rsidR="00E32FA6" w:rsidRDefault="00E32FA6" w:rsidP="00E32FA6">
      <w:pPr>
        <w:pStyle w:val="BodyText"/>
        <w:spacing w:after="0"/>
        <w:rPr>
          <w:lang w:eastAsia="de-DE"/>
        </w:rPr>
      </w:pPr>
    </w:p>
    <w:p w:rsidR="00E32FA6" w:rsidRDefault="00E32FA6" w:rsidP="0013245B">
      <w:pPr>
        <w:pStyle w:val="BodyText"/>
        <w:rPr>
          <w:b/>
          <w:lang w:eastAsia="de-DE"/>
        </w:rPr>
      </w:pPr>
      <w:r w:rsidRPr="00E32FA6">
        <w:rPr>
          <w:b/>
          <w:lang w:eastAsia="de-DE"/>
        </w:rPr>
        <w:t>Need for change</w:t>
      </w:r>
    </w:p>
    <w:p w:rsidR="0013245B" w:rsidRDefault="0013245B" w:rsidP="007A0B6F">
      <w:pPr>
        <w:pStyle w:val="BodyText"/>
        <w:spacing w:after="0"/>
        <w:rPr>
          <w:lang w:eastAsia="de-DE"/>
        </w:rPr>
      </w:pPr>
      <w:r w:rsidRPr="0013245B">
        <w:rPr>
          <w:lang w:eastAsia="de-DE"/>
        </w:rPr>
        <w:t>As indicated above, the arrangements for dealing with DGNSS information (which have worked in the past) are rather informal. The necessary documentation is also not now readily available.</w:t>
      </w:r>
      <w:r>
        <w:rPr>
          <w:lang w:eastAsia="de-DE"/>
        </w:rPr>
        <w:t xml:space="preserve"> The proposals set out below are intended to formalise the arrangements, make the updating process easier and ensure that IALA Members receive </w:t>
      </w:r>
      <w:r w:rsidR="007A0B6F">
        <w:rPr>
          <w:lang w:eastAsia="de-DE"/>
        </w:rPr>
        <w:t xml:space="preserve">sound and </w:t>
      </w:r>
      <w:r>
        <w:rPr>
          <w:lang w:eastAsia="de-DE"/>
        </w:rPr>
        <w:t>timely a</w:t>
      </w:r>
      <w:r w:rsidR="007A0B6F">
        <w:rPr>
          <w:lang w:eastAsia="de-DE"/>
        </w:rPr>
        <w:t>dvice.</w:t>
      </w:r>
    </w:p>
    <w:p w:rsidR="007A0B6F" w:rsidRDefault="007A0B6F" w:rsidP="007A0B6F">
      <w:pPr>
        <w:pStyle w:val="BodyText"/>
        <w:spacing w:after="0"/>
        <w:rPr>
          <w:lang w:eastAsia="de-DE"/>
        </w:rPr>
      </w:pPr>
    </w:p>
    <w:p w:rsidR="007A0B6F" w:rsidRPr="007A0B6F" w:rsidRDefault="007A0B6F" w:rsidP="007A0B6F">
      <w:pPr>
        <w:pStyle w:val="BodyText"/>
        <w:rPr>
          <w:b/>
          <w:lang w:eastAsia="de-DE"/>
        </w:rPr>
      </w:pPr>
      <w:r w:rsidRPr="007A0B6F">
        <w:rPr>
          <w:b/>
          <w:lang w:eastAsia="de-DE"/>
        </w:rPr>
        <w:t>Information format</w:t>
      </w:r>
    </w:p>
    <w:p w:rsidR="007A0B6F" w:rsidRDefault="007A0B6F" w:rsidP="007A0B6F">
      <w:pPr>
        <w:pStyle w:val="BodyText"/>
        <w:rPr>
          <w:lang w:eastAsia="de-DE"/>
        </w:rPr>
      </w:pPr>
      <w:r>
        <w:rPr>
          <w:lang w:eastAsia="de-DE"/>
        </w:rPr>
        <w:t xml:space="preserve">The present </w:t>
      </w:r>
      <w:proofErr w:type="spellStart"/>
      <w:r>
        <w:rPr>
          <w:lang w:eastAsia="de-DE"/>
        </w:rPr>
        <w:t>pdf</w:t>
      </w:r>
      <w:proofErr w:type="spellEnd"/>
      <w:r>
        <w:rPr>
          <w:lang w:eastAsia="de-DE"/>
        </w:rPr>
        <w:t xml:space="preserve"> format is not easy to change and necessitates holding the information in some other format, so that it can be edited. Two alternative approaches are suggested: </w:t>
      </w:r>
    </w:p>
    <w:p w:rsidR="007A0B6F" w:rsidRDefault="007A0B6F" w:rsidP="007A0B6F">
      <w:pPr>
        <w:pStyle w:val="BodyText"/>
        <w:rPr>
          <w:lang w:eastAsia="de-DE"/>
        </w:rPr>
      </w:pPr>
      <w:r>
        <w:rPr>
          <w:lang w:eastAsia="de-DE"/>
        </w:rPr>
        <w:t>1. Store and manipulate the information as a spreadsheet – this would make it easier to search and check for conflicts in frequencies and ID numbers.</w:t>
      </w:r>
    </w:p>
    <w:p w:rsidR="007A0B6F" w:rsidRDefault="007A0B6F" w:rsidP="007D16C4">
      <w:pPr>
        <w:pStyle w:val="BodyText"/>
        <w:spacing w:after="0"/>
        <w:rPr>
          <w:lang w:eastAsia="de-DE"/>
        </w:rPr>
      </w:pPr>
      <w:r>
        <w:rPr>
          <w:lang w:eastAsia="de-DE"/>
        </w:rPr>
        <w:t xml:space="preserve">2. Encode the information as XML files, so that it </w:t>
      </w:r>
      <w:r w:rsidR="007D16C4">
        <w:rPr>
          <w:lang w:eastAsia="de-DE"/>
        </w:rPr>
        <w:t>can be updated online. An extension to this approach would be to provide an S-100 Product Specification for DGNSS information. This would be very similar to the AtoN Information Product Specification currently being finalised.</w:t>
      </w:r>
    </w:p>
    <w:p w:rsidR="007D16C4" w:rsidRDefault="007D16C4" w:rsidP="007D16C4">
      <w:pPr>
        <w:pStyle w:val="BodyText"/>
        <w:spacing w:after="0"/>
        <w:rPr>
          <w:lang w:eastAsia="de-DE"/>
        </w:rPr>
      </w:pPr>
    </w:p>
    <w:p w:rsidR="007D16C4" w:rsidRPr="007D16C4" w:rsidRDefault="007D16C4" w:rsidP="007D16C4">
      <w:pPr>
        <w:pStyle w:val="BodyText"/>
        <w:rPr>
          <w:b/>
          <w:lang w:eastAsia="de-DE"/>
        </w:rPr>
      </w:pPr>
      <w:r w:rsidRPr="007D16C4">
        <w:rPr>
          <w:b/>
          <w:lang w:eastAsia="de-DE"/>
        </w:rPr>
        <w:t>Documentation</w:t>
      </w:r>
    </w:p>
    <w:p w:rsidR="007D16C4" w:rsidRDefault="007D16C4" w:rsidP="007D16C4">
      <w:pPr>
        <w:pStyle w:val="BodyText"/>
        <w:spacing w:after="0"/>
        <w:rPr>
          <w:lang w:eastAsia="de-DE"/>
        </w:rPr>
      </w:pPr>
      <w:r>
        <w:rPr>
          <w:lang w:eastAsia="de-DE"/>
        </w:rPr>
        <w:t xml:space="preserve">It is proposed that the current documentation setting out the scheme for allocating reference and transmitting station ID numbers should be updated and turned into a recommendation or guideline, so that it fits in with other IALA documentation. This would be a task for the successor to Working Group 2 (PNT) of the e-Navigation Committee during the 2014-18 </w:t>
      </w:r>
      <w:proofErr w:type="gramStart"/>
      <w:r>
        <w:rPr>
          <w:lang w:eastAsia="de-DE"/>
        </w:rPr>
        <w:t>period</w:t>
      </w:r>
      <w:proofErr w:type="gramEnd"/>
      <w:r>
        <w:rPr>
          <w:lang w:eastAsia="de-DE"/>
        </w:rPr>
        <w:t>.</w:t>
      </w:r>
    </w:p>
    <w:p w:rsidR="007D16C4" w:rsidRDefault="007D16C4" w:rsidP="007D16C4">
      <w:pPr>
        <w:pStyle w:val="BodyText"/>
        <w:spacing w:after="0"/>
        <w:rPr>
          <w:lang w:eastAsia="de-DE"/>
        </w:rPr>
      </w:pPr>
    </w:p>
    <w:p w:rsidR="007D16C4" w:rsidRPr="007D16C4" w:rsidRDefault="007D16C4" w:rsidP="007D16C4">
      <w:pPr>
        <w:pStyle w:val="BodyText"/>
        <w:rPr>
          <w:b/>
          <w:lang w:eastAsia="de-DE"/>
        </w:rPr>
      </w:pPr>
      <w:r w:rsidRPr="007D16C4">
        <w:rPr>
          <w:b/>
          <w:lang w:eastAsia="de-DE"/>
        </w:rPr>
        <w:t>Interim arrangements</w:t>
      </w:r>
    </w:p>
    <w:p w:rsidR="00E32FA6" w:rsidRPr="001F03D4" w:rsidRDefault="007D16C4" w:rsidP="00CF107E">
      <w:pPr>
        <w:pStyle w:val="BodyText"/>
        <w:rPr>
          <w:lang w:eastAsia="de-DE"/>
        </w:rPr>
      </w:pPr>
      <w:r>
        <w:rPr>
          <w:lang w:eastAsia="de-DE"/>
        </w:rPr>
        <w:t xml:space="preserve">It is probably not practical to carry out the changes </w:t>
      </w:r>
      <w:r w:rsidR="0088084E">
        <w:rPr>
          <w:lang w:eastAsia="de-DE"/>
        </w:rPr>
        <w:t>suggested</w:t>
      </w:r>
      <w:r>
        <w:rPr>
          <w:lang w:eastAsia="de-DE"/>
        </w:rPr>
        <w:t xml:space="preserve"> above before the start of the 2014-18 </w:t>
      </w:r>
      <w:proofErr w:type="gramStart"/>
      <w:r>
        <w:rPr>
          <w:lang w:eastAsia="de-DE"/>
        </w:rPr>
        <w:t>period</w:t>
      </w:r>
      <w:proofErr w:type="gramEnd"/>
      <w:r>
        <w:rPr>
          <w:lang w:eastAsia="de-DE"/>
        </w:rPr>
        <w:t xml:space="preserve">. </w:t>
      </w:r>
      <w:r w:rsidR="0088084E">
        <w:rPr>
          <w:lang w:eastAsia="de-DE"/>
        </w:rPr>
        <w:t xml:space="preserve">Certainly the move towards an S-100 PS would be a long term goal. </w:t>
      </w:r>
      <w:proofErr w:type="gramStart"/>
      <w:r>
        <w:rPr>
          <w:lang w:eastAsia="de-DE"/>
        </w:rPr>
        <w:t>Therefore  it</w:t>
      </w:r>
      <w:proofErr w:type="gramEnd"/>
      <w:r>
        <w:rPr>
          <w:lang w:eastAsia="de-DE"/>
        </w:rPr>
        <w:t xml:space="preserve"> is proposed that </w:t>
      </w:r>
      <w:r w:rsidR="0088084E">
        <w:rPr>
          <w:lang w:eastAsia="de-DE"/>
        </w:rPr>
        <w:t>the present informal arrangements can continue for the interim period, with enquiries dealt with by the secretariat and referred to the present e-NAV vice chair for advice. From e-NAV 15 onwards, responsibility for advice could be transferred to the chair &amp; vice chair of the successor to WG 2.</w:t>
      </w:r>
    </w:p>
    <w:sectPr w:rsidR="00E32FA6" w:rsidRPr="001F03D4" w:rsidSect="0082480E">
      <w:headerReference w:type="default" r:id="rId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7F18" w:rsidRDefault="001F7F18" w:rsidP="00362CD9">
      <w:r>
        <w:separator/>
      </w:r>
    </w:p>
  </w:endnote>
  <w:endnote w:type="continuationSeparator" w:id="0">
    <w:p w:rsidR="001F7F18" w:rsidRDefault="001F7F18"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Bold">
    <w:panose1 w:val="020B07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61002A87" w:usb1="80000000" w:usb2="00000008"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7F18" w:rsidRDefault="001F7F18" w:rsidP="00362CD9">
      <w:r>
        <w:separator/>
      </w:r>
    </w:p>
  </w:footnote>
  <w:footnote w:type="continuationSeparator" w:id="0">
    <w:p w:rsidR="001F7F18" w:rsidRDefault="001F7F18" w:rsidP="00362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ECA" w:rsidRDefault="00F11ECA">
    <w:pPr>
      <w:pStyle w:val="Header"/>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auto"/>
        <w:spacing w:val="0"/>
        <w:w w:val="0"/>
        <w:kern w:val="0"/>
        <w:position w:val="0"/>
        <w:sz w:val="24"/>
        <w:szCs w:val="24"/>
        <w:u w:val="none" w:color="000000"/>
        <w:effect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4F974D7"/>
    <w:multiLevelType w:val="hybridMultilevel"/>
    <w:tmpl w:val="712AE556"/>
    <w:lvl w:ilvl="0" w:tplc="A73E667A">
      <w:start w:val="1"/>
      <w:numFmt w:val="bullet"/>
      <w:lvlText w:val=""/>
      <w:lvlJc w:val="left"/>
      <w:pPr>
        <w:tabs>
          <w:tab w:val="num" w:pos="720"/>
        </w:tabs>
        <w:ind w:left="720" w:hanging="360"/>
      </w:pPr>
      <w:rPr>
        <w:rFonts w:ascii="Wingdings" w:hAnsi="Wingdings" w:hint="default"/>
      </w:rPr>
    </w:lvl>
    <w:lvl w:ilvl="1" w:tplc="CDE6AA62">
      <w:start w:val="1"/>
      <w:numFmt w:val="decimal"/>
      <w:lvlText w:val="%2."/>
      <w:lvlJc w:val="left"/>
      <w:pPr>
        <w:tabs>
          <w:tab w:val="num" w:pos="1440"/>
        </w:tabs>
        <w:ind w:left="1440" w:hanging="360"/>
      </w:pPr>
    </w:lvl>
    <w:lvl w:ilvl="2" w:tplc="045CAEB4">
      <w:start w:val="1"/>
      <w:numFmt w:val="decimal"/>
      <w:lvlText w:val="%3."/>
      <w:lvlJc w:val="left"/>
      <w:pPr>
        <w:tabs>
          <w:tab w:val="num" w:pos="2160"/>
        </w:tabs>
        <w:ind w:left="2160" w:hanging="360"/>
      </w:pPr>
    </w:lvl>
    <w:lvl w:ilvl="3" w:tplc="A6DCB3DA">
      <w:start w:val="1"/>
      <w:numFmt w:val="decimal"/>
      <w:lvlText w:val="%4."/>
      <w:lvlJc w:val="left"/>
      <w:pPr>
        <w:tabs>
          <w:tab w:val="num" w:pos="2880"/>
        </w:tabs>
        <w:ind w:left="2880" w:hanging="360"/>
      </w:pPr>
    </w:lvl>
    <w:lvl w:ilvl="4" w:tplc="6854EC76">
      <w:start w:val="1"/>
      <w:numFmt w:val="decimal"/>
      <w:lvlText w:val="%5."/>
      <w:lvlJc w:val="left"/>
      <w:pPr>
        <w:tabs>
          <w:tab w:val="num" w:pos="3600"/>
        </w:tabs>
        <w:ind w:left="3600" w:hanging="360"/>
      </w:pPr>
    </w:lvl>
    <w:lvl w:ilvl="5" w:tplc="15FE352A">
      <w:start w:val="1"/>
      <w:numFmt w:val="decimal"/>
      <w:lvlText w:val="%6."/>
      <w:lvlJc w:val="left"/>
      <w:pPr>
        <w:tabs>
          <w:tab w:val="num" w:pos="4320"/>
        </w:tabs>
        <w:ind w:left="4320" w:hanging="360"/>
      </w:pPr>
    </w:lvl>
    <w:lvl w:ilvl="6" w:tplc="E34A54B8">
      <w:start w:val="1"/>
      <w:numFmt w:val="decimal"/>
      <w:lvlText w:val="%7."/>
      <w:lvlJc w:val="left"/>
      <w:pPr>
        <w:tabs>
          <w:tab w:val="num" w:pos="5040"/>
        </w:tabs>
        <w:ind w:left="5040" w:hanging="360"/>
      </w:pPr>
    </w:lvl>
    <w:lvl w:ilvl="7" w:tplc="7FB4AD2C">
      <w:start w:val="1"/>
      <w:numFmt w:val="decimal"/>
      <w:lvlText w:val="%8."/>
      <w:lvlJc w:val="left"/>
      <w:pPr>
        <w:tabs>
          <w:tab w:val="num" w:pos="5760"/>
        </w:tabs>
        <w:ind w:left="5760" w:hanging="360"/>
      </w:pPr>
    </w:lvl>
    <w:lvl w:ilvl="8" w:tplc="E306F414">
      <w:start w:val="1"/>
      <w:numFmt w:val="decimal"/>
      <w:lvlText w:val="%9."/>
      <w:lvlJc w:val="left"/>
      <w:pPr>
        <w:tabs>
          <w:tab w:val="num" w:pos="6480"/>
        </w:tabs>
        <w:ind w:left="6480" w:hanging="360"/>
      </w:pPr>
    </w:lvl>
  </w:abstractNum>
  <w:abstractNum w:abstractNumId="4">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5">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nsid w:val="20F21F2D"/>
    <w:multiLevelType w:val="hybridMultilevel"/>
    <w:tmpl w:val="54EAEB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A186F65"/>
    <w:multiLevelType w:val="hybridMultilevel"/>
    <w:tmpl w:val="742C38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5">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3">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27">
    <w:nsid w:val="7FA5429C"/>
    <w:multiLevelType w:val="hybridMultilevel"/>
    <w:tmpl w:val="5E7063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8"/>
  </w:num>
  <w:num w:numId="4">
    <w:abstractNumId w:val="23"/>
  </w:num>
  <w:num w:numId="5">
    <w:abstractNumId w:val="17"/>
  </w:num>
  <w:num w:numId="6">
    <w:abstractNumId w:val="5"/>
  </w:num>
  <w:num w:numId="7">
    <w:abstractNumId w:val="25"/>
  </w:num>
  <w:num w:numId="8">
    <w:abstractNumId w:val="12"/>
  </w:num>
  <w:num w:numId="9">
    <w:abstractNumId w:val="10"/>
  </w:num>
  <w:num w:numId="10">
    <w:abstractNumId w:val="19"/>
  </w:num>
  <w:num w:numId="11">
    <w:abstractNumId w:val="18"/>
  </w:num>
  <w:num w:numId="12">
    <w:abstractNumId w:val="16"/>
  </w:num>
  <w:num w:numId="13">
    <w:abstractNumId w:val="24"/>
  </w:num>
  <w:num w:numId="14">
    <w:abstractNumId w:val="6"/>
  </w:num>
  <w:num w:numId="15">
    <w:abstractNumId w:val="26"/>
  </w:num>
  <w:num w:numId="16">
    <w:abstractNumId w:val="15"/>
  </w:num>
  <w:num w:numId="17">
    <w:abstractNumId w:val="7"/>
  </w:num>
  <w:num w:numId="18">
    <w:abstractNumId w:val="21"/>
  </w:num>
  <w:num w:numId="19">
    <w:abstractNumId w:val="15"/>
  </w:num>
  <w:num w:numId="20">
    <w:abstractNumId w:val="15"/>
  </w:num>
  <w:num w:numId="21">
    <w:abstractNumId w:val="15"/>
  </w:num>
  <w:num w:numId="22">
    <w:abstractNumId w:val="15"/>
  </w:num>
  <w:num w:numId="23">
    <w:abstractNumId w:val="22"/>
  </w:num>
  <w:num w:numId="24">
    <w:abstractNumId w:val="4"/>
  </w:num>
  <w:num w:numId="25">
    <w:abstractNumId w:val="4"/>
  </w:num>
  <w:num w:numId="26">
    <w:abstractNumId w:val="4"/>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20"/>
  </w:num>
  <w:num w:numId="34">
    <w:abstractNumId w:val="20"/>
  </w:num>
  <w:num w:numId="35">
    <w:abstractNumId w:val="20"/>
  </w:num>
  <w:num w:numId="36">
    <w:abstractNumId w:val="14"/>
  </w:num>
  <w:num w:numId="37">
    <w:abstractNumId w:val="6"/>
  </w:num>
  <w:num w:numId="38">
    <w:abstractNumId w:val="16"/>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9"/>
  </w:num>
  <w:num w:numId="46">
    <w:abstractNumId w:val="27"/>
  </w:num>
  <w:num w:numId="47">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60762"/>
    <w:rsid w:val="000005D3"/>
    <w:rsid w:val="000336D8"/>
    <w:rsid w:val="0004700E"/>
    <w:rsid w:val="0006526F"/>
    <w:rsid w:val="00070C13"/>
    <w:rsid w:val="00075C01"/>
    <w:rsid w:val="00084F33"/>
    <w:rsid w:val="000A565A"/>
    <w:rsid w:val="000A77A7"/>
    <w:rsid w:val="000B737A"/>
    <w:rsid w:val="000C1B3E"/>
    <w:rsid w:val="000D0F44"/>
    <w:rsid w:val="00102FD5"/>
    <w:rsid w:val="001169ED"/>
    <w:rsid w:val="00121551"/>
    <w:rsid w:val="0013245B"/>
    <w:rsid w:val="001417C7"/>
    <w:rsid w:val="00143D11"/>
    <w:rsid w:val="0016016A"/>
    <w:rsid w:val="00177F4D"/>
    <w:rsid w:val="00180DDA"/>
    <w:rsid w:val="001B2A2D"/>
    <w:rsid w:val="001B737D"/>
    <w:rsid w:val="001C44A3"/>
    <w:rsid w:val="001C70D1"/>
    <w:rsid w:val="001F03D4"/>
    <w:rsid w:val="001F528A"/>
    <w:rsid w:val="001F704E"/>
    <w:rsid w:val="001F7F18"/>
    <w:rsid w:val="00210AA5"/>
    <w:rsid w:val="002125B0"/>
    <w:rsid w:val="00243228"/>
    <w:rsid w:val="00246402"/>
    <w:rsid w:val="00251483"/>
    <w:rsid w:val="00255CAA"/>
    <w:rsid w:val="00264305"/>
    <w:rsid w:val="002A0346"/>
    <w:rsid w:val="002A4487"/>
    <w:rsid w:val="002D3E8B"/>
    <w:rsid w:val="002D4575"/>
    <w:rsid w:val="002D5C0C"/>
    <w:rsid w:val="002E6B74"/>
    <w:rsid w:val="0035267E"/>
    <w:rsid w:val="00356CD0"/>
    <w:rsid w:val="00360762"/>
    <w:rsid w:val="00362CD9"/>
    <w:rsid w:val="00380DAF"/>
    <w:rsid w:val="003B28F5"/>
    <w:rsid w:val="003B7B7D"/>
    <w:rsid w:val="003C7A2A"/>
    <w:rsid w:val="003D69D0"/>
    <w:rsid w:val="003F2918"/>
    <w:rsid w:val="003F29C9"/>
    <w:rsid w:val="003F430E"/>
    <w:rsid w:val="00426C3F"/>
    <w:rsid w:val="004661AD"/>
    <w:rsid w:val="00492477"/>
    <w:rsid w:val="004B26C1"/>
    <w:rsid w:val="004C210D"/>
    <w:rsid w:val="004C57A1"/>
    <w:rsid w:val="004D1D85"/>
    <w:rsid w:val="004D3C3A"/>
    <w:rsid w:val="004E307B"/>
    <w:rsid w:val="004E3635"/>
    <w:rsid w:val="005107EB"/>
    <w:rsid w:val="00521345"/>
    <w:rsid w:val="00526DF0"/>
    <w:rsid w:val="00545CC4"/>
    <w:rsid w:val="00551FFF"/>
    <w:rsid w:val="005607A2"/>
    <w:rsid w:val="0057198B"/>
    <w:rsid w:val="0057702E"/>
    <w:rsid w:val="005825AC"/>
    <w:rsid w:val="00597F15"/>
    <w:rsid w:val="005B32A3"/>
    <w:rsid w:val="005C566C"/>
    <w:rsid w:val="005C7E69"/>
    <w:rsid w:val="005E262D"/>
    <w:rsid w:val="005F7E20"/>
    <w:rsid w:val="0062367C"/>
    <w:rsid w:val="00626694"/>
    <w:rsid w:val="00630309"/>
    <w:rsid w:val="006652C3"/>
    <w:rsid w:val="00691FD0"/>
    <w:rsid w:val="006A0ABE"/>
    <w:rsid w:val="006A5DFE"/>
    <w:rsid w:val="006B5404"/>
    <w:rsid w:val="006C5948"/>
    <w:rsid w:val="006D2280"/>
    <w:rsid w:val="006F2A74"/>
    <w:rsid w:val="007118F5"/>
    <w:rsid w:val="00712AA4"/>
    <w:rsid w:val="00721AA1"/>
    <w:rsid w:val="007547F8"/>
    <w:rsid w:val="007625E1"/>
    <w:rsid w:val="00765622"/>
    <w:rsid w:val="00770B6C"/>
    <w:rsid w:val="00783FEA"/>
    <w:rsid w:val="00790BBE"/>
    <w:rsid w:val="007937B6"/>
    <w:rsid w:val="007A0B6F"/>
    <w:rsid w:val="007D16C4"/>
    <w:rsid w:val="008070F7"/>
    <w:rsid w:val="00816B04"/>
    <w:rsid w:val="0082480E"/>
    <w:rsid w:val="00847B1D"/>
    <w:rsid w:val="00851373"/>
    <w:rsid w:val="00851BA6"/>
    <w:rsid w:val="0085654D"/>
    <w:rsid w:val="00857450"/>
    <w:rsid w:val="00861160"/>
    <w:rsid w:val="0088084E"/>
    <w:rsid w:val="008A4653"/>
    <w:rsid w:val="008A50CC"/>
    <w:rsid w:val="008C6B7A"/>
    <w:rsid w:val="008D1694"/>
    <w:rsid w:val="008D79CB"/>
    <w:rsid w:val="008F07BC"/>
    <w:rsid w:val="009030E3"/>
    <w:rsid w:val="0092692B"/>
    <w:rsid w:val="00943E9C"/>
    <w:rsid w:val="00953F4D"/>
    <w:rsid w:val="00960BB8"/>
    <w:rsid w:val="00964F5C"/>
    <w:rsid w:val="009D2729"/>
    <w:rsid w:val="00A0389B"/>
    <w:rsid w:val="00A22812"/>
    <w:rsid w:val="00A37A82"/>
    <w:rsid w:val="00A446C9"/>
    <w:rsid w:val="00A62F54"/>
    <w:rsid w:val="00A635D6"/>
    <w:rsid w:val="00A6771C"/>
    <w:rsid w:val="00A74025"/>
    <w:rsid w:val="00A8553A"/>
    <w:rsid w:val="00A93AED"/>
    <w:rsid w:val="00AA2811"/>
    <w:rsid w:val="00B226F2"/>
    <w:rsid w:val="00B274DF"/>
    <w:rsid w:val="00B356C1"/>
    <w:rsid w:val="00B56BDF"/>
    <w:rsid w:val="00B56C58"/>
    <w:rsid w:val="00B85063"/>
    <w:rsid w:val="00B85CD6"/>
    <w:rsid w:val="00B90A27"/>
    <w:rsid w:val="00B93C88"/>
    <w:rsid w:val="00B9554D"/>
    <w:rsid w:val="00BB2B9F"/>
    <w:rsid w:val="00BD2926"/>
    <w:rsid w:val="00BD3CB8"/>
    <w:rsid w:val="00BD4E6F"/>
    <w:rsid w:val="00BF4DCE"/>
    <w:rsid w:val="00BF694A"/>
    <w:rsid w:val="00C05CE5"/>
    <w:rsid w:val="00C16591"/>
    <w:rsid w:val="00C6171E"/>
    <w:rsid w:val="00C62570"/>
    <w:rsid w:val="00C87C6D"/>
    <w:rsid w:val="00CA6F2C"/>
    <w:rsid w:val="00CD022F"/>
    <w:rsid w:val="00CD2A77"/>
    <w:rsid w:val="00CD7BEC"/>
    <w:rsid w:val="00CE52E3"/>
    <w:rsid w:val="00CF107E"/>
    <w:rsid w:val="00CF1871"/>
    <w:rsid w:val="00D103A9"/>
    <w:rsid w:val="00D1133E"/>
    <w:rsid w:val="00D11E10"/>
    <w:rsid w:val="00D17A34"/>
    <w:rsid w:val="00D250AF"/>
    <w:rsid w:val="00D26628"/>
    <w:rsid w:val="00D332B3"/>
    <w:rsid w:val="00D55207"/>
    <w:rsid w:val="00D5642C"/>
    <w:rsid w:val="00D77463"/>
    <w:rsid w:val="00D92B45"/>
    <w:rsid w:val="00D95962"/>
    <w:rsid w:val="00DA7AC3"/>
    <w:rsid w:val="00DC26E4"/>
    <w:rsid w:val="00DC389B"/>
    <w:rsid w:val="00DE1FFE"/>
    <w:rsid w:val="00DE2FEE"/>
    <w:rsid w:val="00E00BE9"/>
    <w:rsid w:val="00E10F37"/>
    <w:rsid w:val="00E22A11"/>
    <w:rsid w:val="00E32FA6"/>
    <w:rsid w:val="00E55927"/>
    <w:rsid w:val="00E65763"/>
    <w:rsid w:val="00E912A6"/>
    <w:rsid w:val="00EA4844"/>
    <w:rsid w:val="00EA4D9C"/>
    <w:rsid w:val="00EB681C"/>
    <w:rsid w:val="00EB75EE"/>
    <w:rsid w:val="00EC4B3B"/>
    <w:rsid w:val="00EC68A1"/>
    <w:rsid w:val="00EE4C1D"/>
    <w:rsid w:val="00EF3685"/>
    <w:rsid w:val="00F00804"/>
    <w:rsid w:val="00F04F7E"/>
    <w:rsid w:val="00F11ECA"/>
    <w:rsid w:val="00F15984"/>
    <w:rsid w:val="00F159EB"/>
    <w:rsid w:val="00F25BF4"/>
    <w:rsid w:val="00F267DB"/>
    <w:rsid w:val="00F412B9"/>
    <w:rsid w:val="00F46F6F"/>
    <w:rsid w:val="00F60608"/>
    <w:rsid w:val="00F62217"/>
    <w:rsid w:val="00FB17A9"/>
    <w:rsid w:val="00FB6F75"/>
    <w:rsid w:val="00FC0EB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rsid w:val="0057702E"/>
    <w:pPr>
      <w:numPr>
        <w:numId w:val="43"/>
      </w:numPr>
      <w:spacing w:before="120" w:after="240"/>
    </w:pPr>
    <w:rPr>
      <w:b/>
      <w:sz w:val="24"/>
      <w:szCs w:val="28"/>
      <w:lang w:eastAsia="en-US"/>
    </w:rPr>
  </w:style>
  <w:style w:type="paragraph" w:styleId="BalloonText">
    <w:name w:val="Balloon Text"/>
    <w:basedOn w:val="Normal"/>
    <w:link w:val="BalloonTextChar"/>
    <w:uiPriority w:val="99"/>
    <w:semiHidden/>
    <w:unhideWhenUsed/>
    <w:rsid w:val="00A22812"/>
    <w:rPr>
      <w:rFonts w:ascii="Tahoma" w:hAnsi="Tahoma" w:cs="Tahoma"/>
      <w:sz w:val="16"/>
      <w:szCs w:val="16"/>
    </w:rPr>
  </w:style>
  <w:style w:type="character" w:customStyle="1" w:styleId="BalloonTextChar">
    <w:name w:val="Balloon Text Char"/>
    <w:basedOn w:val="DefaultParagraphFont"/>
    <w:link w:val="BalloonText"/>
    <w:uiPriority w:val="99"/>
    <w:semiHidden/>
    <w:rsid w:val="00A22812"/>
    <w:rPr>
      <w:rFonts w:ascii="Tahoma" w:hAnsi="Tahoma" w:cs="Tahoma"/>
      <w:sz w:val="16"/>
      <w:szCs w:val="16"/>
    </w:rPr>
  </w:style>
  <w:style w:type="paragraph" w:styleId="ListParagraph">
    <w:name w:val="List Paragraph"/>
    <w:basedOn w:val="Normal"/>
    <w:uiPriority w:val="34"/>
    <w:qFormat/>
    <w:rsid w:val="00F11ECA"/>
    <w:pPr>
      <w:ind w:left="720"/>
      <w:contextualSpacing/>
    </w:pPr>
    <w:rPr>
      <w:rFonts w:ascii="Times New Roman" w:eastAsia="Times New Roman" w:hAnsi="Times New Roman" w:cs="Times New Roman"/>
      <w:sz w:val="24"/>
      <w:szCs w:val="24"/>
    </w:rPr>
  </w:style>
  <w:style w:type="paragraph" w:customStyle="1" w:styleId="Default">
    <w:name w:val="Default"/>
    <w:rsid w:val="00F11ECA"/>
    <w:pPr>
      <w:autoSpaceDE w:val="0"/>
      <w:autoSpaceDN w:val="0"/>
      <w:adjustRightInd w:val="0"/>
    </w:pPr>
    <w:rPr>
      <w:rFonts w:ascii="Arial" w:hAnsi="Arial" w:cs="Arial"/>
      <w:color w:val="000000"/>
      <w:sz w:val="24"/>
      <w:szCs w:val="24"/>
      <w:lang w:eastAsia="en-US"/>
    </w:rPr>
  </w:style>
  <w:style w:type="paragraph" w:styleId="PlainText">
    <w:name w:val="Plain Text"/>
    <w:basedOn w:val="Normal"/>
    <w:link w:val="PlainTextChar"/>
    <w:uiPriority w:val="99"/>
    <w:unhideWhenUsed/>
    <w:rsid w:val="00A37A82"/>
    <w:rPr>
      <w:rFonts w:ascii="Consolas" w:eastAsiaTheme="minorHAnsi" w:hAnsi="Consolas" w:cstheme="minorBidi"/>
      <w:sz w:val="21"/>
      <w:szCs w:val="21"/>
      <w:lang w:eastAsia="en-US"/>
    </w:rPr>
  </w:style>
  <w:style w:type="character" w:customStyle="1" w:styleId="PlainTextChar">
    <w:name w:val="Plain Text Char"/>
    <w:basedOn w:val="DefaultParagraphFont"/>
    <w:link w:val="PlainText"/>
    <w:uiPriority w:val="99"/>
    <w:rsid w:val="00A37A82"/>
    <w:rPr>
      <w:rFonts w:ascii="Consolas" w:eastAsiaTheme="minorHAnsi" w:hAnsi="Consolas" w:cstheme="minorBidi"/>
      <w:sz w:val="21"/>
      <w:szCs w:val="2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rsid w:val="0057702E"/>
    <w:pPr>
      <w:numPr>
        <w:numId w:val="43"/>
      </w:numPr>
      <w:spacing w:before="120" w:after="240"/>
    </w:pPr>
    <w:rPr>
      <w:b/>
      <w:sz w:val="24"/>
      <w:szCs w:val="28"/>
      <w:lang w:eastAsia="en-US"/>
    </w:rPr>
  </w:style>
  <w:style w:type="paragraph" w:styleId="BalloonText">
    <w:name w:val="Balloon Text"/>
    <w:basedOn w:val="Normal"/>
    <w:link w:val="BalloonTextChar"/>
    <w:uiPriority w:val="99"/>
    <w:semiHidden/>
    <w:unhideWhenUsed/>
    <w:rsid w:val="00A22812"/>
    <w:rPr>
      <w:rFonts w:ascii="Tahoma" w:hAnsi="Tahoma" w:cs="Tahoma"/>
      <w:sz w:val="16"/>
      <w:szCs w:val="16"/>
    </w:rPr>
  </w:style>
  <w:style w:type="character" w:customStyle="1" w:styleId="BalloonTextChar">
    <w:name w:val="Balloon Text Char"/>
    <w:basedOn w:val="DefaultParagraphFont"/>
    <w:link w:val="BalloonText"/>
    <w:uiPriority w:val="99"/>
    <w:semiHidden/>
    <w:rsid w:val="00A2281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2773744">
      <w:bodyDiv w:val="1"/>
      <w:marLeft w:val="0"/>
      <w:marRight w:val="0"/>
      <w:marTop w:val="0"/>
      <w:marBottom w:val="0"/>
      <w:divBdr>
        <w:top w:val="none" w:sz="0" w:space="0" w:color="auto"/>
        <w:left w:val="none" w:sz="0" w:space="0" w:color="auto"/>
        <w:bottom w:val="none" w:sz="0" w:space="0" w:color="auto"/>
        <w:right w:val="none" w:sz="0" w:space="0" w:color="auto"/>
      </w:divBdr>
    </w:div>
    <w:div w:id="1021857358">
      <w:bodyDiv w:val="1"/>
      <w:marLeft w:val="0"/>
      <w:marRight w:val="0"/>
      <w:marTop w:val="0"/>
      <w:marBottom w:val="0"/>
      <w:divBdr>
        <w:top w:val="none" w:sz="0" w:space="0" w:color="auto"/>
        <w:left w:val="none" w:sz="0" w:space="0" w:color="auto"/>
        <w:bottom w:val="none" w:sz="0" w:space="0" w:color="auto"/>
        <w:right w:val="none" w:sz="0" w:space="0" w:color="auto"/>
      </w:divBdr>
    </w:div>
    <w:div w:id="1031490070">
      <w:bodyDiv w:val="1"/>
      <w:marLeft w:val="0"/>
      <w:marRight w:val="0"/>
      <w:marTop w:val="0"/>
      <w:marBottom w:val="0"/>
      <w:divBdr>
        <w:top w:val="none" w:sz="0" w:space="0" w:color="auto"/>
        <w:left w:val="none" w:sz="0" w:space="0" w:color="auto"/>
        <w:bottom w:val="none" w:sz="0" w:space="0" w:color="auto"/>
        <w:right w:val="none" w:sz="0" w:space="0" w:color="auto"/>
      </w:divBdr>
    </w:div>
    <w:div w:id="1149638583">
      <w:bodyDiv w:val="1"/>
      <w:marLeft w:val="0"/>
      <w:marRight w:val="0"/>
      <w:marTop w:val="0"/>
      <w:marBottom w:val="0"/>
      <w:divBdr>
        <w:top w:val="none" w:sz="0" w:space="0" w:color="auto"/>
        <w:left w:val="none" w:sz="0" w:space="0" w:color="auto"/>
        <w:bottom w:val="none" w:sz="0" w:space="0" w:color="auto"/>
        <w:right w:val="none" w:sz="0" w:space="0" w:color="auto"/>
      </w:divBdr>
    </w:div>
    <w:div w:id="1282146896">
      <w:bodyDiv w:val="1"/>
      <w:marLeft w:val="0"/>
      <w:marRight w:val="0"/>
      <w:marTop w:val="0"/>
      <w:marBottom w:val="0"/>
      <w:divBdr>
        <w:top w:val="none" w:sz="0" w:space="0" w:color="auto"/>
        <w:left w:val="none" w:sz="0" w:space="0" w:color="auto"/>
        <w:bottom w:val="none" w:sz="0" w:space="0" w:color="auto"/>
        <w:right w:val="none" w:sz="0" w:space="0" w:color="auto"/>
      </w:divBdr>
    </w:div>
    <w:div w:id="1532067315">
      <w:bodyDiv w:val="1"/>
      <w:marLeft w:val="0"/>
      <w:marRight w:val="0"/>
      <w:marTop w:val="0"/>
      <w:marBottom w:val="0"/>
      <w:divBdr>
        <w:top w:val="none" w:sz="0" w:space="0" w:color="auto"/>
        <w:left w:val="none" w:sz="0" w:space="0" w:color="auto"/>
        <w:bottom w:val="none" w:sz="0" w:space="0" w:color="auto"/>
        <w:right w:val="none" w:sz="0" w:space="0" w:color="auto"/>
      </w:divBdr>
    </w:div>
    <w:div w:id="1554736654">
      <w:bodyDiv w:val="1"/>
      <w:marLeft w:val="0"/>
      <w:marRight w:val="0"/>
      <w:marTop w:val="0"/>
      <w:marBottom w:val="0"/>
      <w:divBdr>
        <w:top w:val="none" w:sz="0" w:space="0" w:color="auto"/>
        <w:left w:val="none" w:sz="0" w:space="0" w:color="auto"/>
        <w:bottom w:val="none" w:sz="0" w:space="0" w:color="auto"/>
        <w:right w:val="none" w:sz="0" w:space="0" w:color="auto"/>
      </w:divBdr>
    </w:div>
    <w:div w:id="1910730503">
      <w:bodyDiv w:val="1"/>
      <w:marLeft w:val="0"/>
      <w:marRight w:val="0"/>
      <w:marTop w:val="0"/>
      <w:marBottom w:val="0"/>
      <w:divBdr>
        <w:top w:val="none" w:sz="0" w:space="0" w:color="auto"/>
        <w:left w:val="none" w:sz="0" w:space="0" w:color="auto"/>
        <w:bottom w:val="none" w:sz="0" w:space="0" w:color="auto"/>
        <w:right w:val="none" w:sz="0" w:space="0" w:color="auto"/>
      </w:divBdr>
    </w:div>
    <w:div w:id="1961766792">
      <w:bodyDiv w:val="1"/>
      <w:marLeft w:val="0"/>
      <w:marRight w:val="0"/>
      <w:marTop w:val="0"/>
      <w:marBottom w:val="0"/>
      <w:divBdr>
        <w:top w:val="none" w:sz="0" w:space="0" w:color="auto"/>
        <w:left w:val="none" w:sz="0" w:space="0" w:color="auto"/>
        <w:bottom w:val="none" w:sz="0" w:space="0" w:color="auto"/>
        <w:right w:val="none" w:sz="0" w:space="0" w:color="auto"/>
      </w:divBdr>
    </w:div>
    <w:div w:id="2051613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549</Words>
  <Characters>3131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Hogendoorn, Rene</dc:creator>
  <cp:lastModifiedBy>Seamus Doyle</cp:lastModifiedBy>
  <cp:revision>2</cp:revision>
  <dcterms:created xsi:type="dcterms:W3CDTF">2013-10-21T10:34:00Z</dcterms:created>
  <dcterms:modified xsi:type="dcterms:W3CDTF">2013-10-21T10:34:00Z</dcterms:modified>
</cp:coreProperties>
</file>